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Compliance Timeline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Company: Acme Inc</w:t>
      </w:r>
    </w:p>
    <w:p>
      <w:r>
        <w:t xml:space="preserve">Last updated: 2026-03-19</w:t>
      </w:r>
    </w:p>
    <w:p>
      <w:r>
        <w:t xml:space="preserve">Project: nextjs-saas-example</w:t>
      </w:r>
    </w:p>
    <w:p>
      <w:pPr>
        <w:pStyle w:val="Heading2"/>
      </w:pPr>
      <w:r>
        <w:t>Related Documents</w:t>
      </w:r>
    </w:p>
    <w:p>
      <w:pPr>
        <w:pStyle w:val="ListParagraph"/>
        <w:numPr>
          <w:ilvl w:val="0"/>
          <w:numId w:val="1"/>
        </w:numPr>
      </w:pPr>
      <w:r>
        <w:t xml:space="preserve">Compliance Notes (`COMPLIANCE_NOTES.md`)</w:t>
      </w:r>
    </w:p>
    <w:p>
      <w:pPr>
        <w:pStyle w:val="ListParagraph"/>
        <w:numPr>
          <w:ilvl w:val="0"/>
          <w:numId w:val="1"/>
        </w:numPr>
      </w:pPr>
      <w:r>
        <w:t xml:space="preserve">Annual Review Checklist (`ANNUAL_REVIEW_CHECKLIST.md`)</w:t>
      </w:r>
    </w:p>
    <w:p>
      <w:pPr>
        <w:pStyle w:val="ListParagraph"/>
        <w:numPr>
          <w:ilvl w:val="0"/>
          <w:numId w:val="1"/>
        </w:numPr>
      </w:pPr>
      <w:r>
        <w:t xml:space="preserve">Regulatory Updates (`REGULATORY_UPDATES.md`)</w:t>
      </w:r>
    </w:p>
    <w:p>
      <w:pPr>
        <w:pBdr>
          <w:bottom w:val="single" w:sz="6" w:space="1" w:color="999999"/>
        </w:pBdr>
      </w:pPr>
    </w:p>
    <w:p>
      <w:r>
        <w:t xml:space="preserve">This document outlines key compliance deadlines, ongoing obligations, and recommended action items based on the services detected in your codebase.</w:t>
      </w:r>
    </w:p>
    <w:p>
      <w:pPr>
        <w:ind w:left="720"/>
      </w:pPr>
      <w:r>
        <w:rPr>
          <w:i/>
          <w:color w:val="666666"/>
        </w:rPr>
        <w:t xml:space="preserve">**Disclaimer:** This is not legal advice. Consult qualified legal counsel to confirm applicable deadlines and obligations for your specific situation.</w:t>
      </w:r>
    </w:p>
    <w:p>
      <w:pPr>
        <w:pStyle w:val="Heading2"/>
      </w:pPr>
      <w:r>
        <w:t>1. Key Regulatory Deadlines</w:t>
      </w:r>
    </w:p>
    <w:p>
      <w:r>
        <w:rPr>
          <w:sz w:val="20"/>
        </w:rPr>
        <w:t xml:space="preserve">Date  |  Deadline  |  Regulation</w:t>
      </w:r>
    </w:p>
    <w:p>
      <w:r>
        <w:rPr>
          <w:sz w:val="20"/>
        </w:rPr>
        <w:t xml:space="preserve">Jan 1, 2023  |  Virginia CDPA — Effective date  |  Virginia state privacy law</w:t>
      </w:r>
    </w:p>
    <w:p>
      <w:r>
        <w:rPr>
          <w:sz w:val="20"/>
        </w:rPr>
        <w:t xml:space="preserve">Jul 1, 2023  |  Colorado Privacy Act (CPA) — Effective date  |  Colorado state privacy law</w:t>
      </w:r>
    </w:p>
    <w:p>
      <w:r>
        <w:rPr>
          <w:sz w:val="20"/>
        </w:rPr>
        <w:t xml:space="preserve">Jul 1, 2023  |  Connecticut Data Privacy Act (CTDPA) — Effective date  |  Connecticut state privacy law</w:t>
      </w:r>
    </w:p>
    <w:p>
      <w:r>
        <w:rPr>
          <w:sz w:val="20"/>
        </w:rPr>
        <w:t xml:space="preserve">Dec 31, 2023  |  Utah Consumer Privacy Act (UCPA) — Effective date  |  Utah state privacy law</w:t>
      </w:r>
    </w:p>
    <w:p>
      <w:r>
        <w:rPr>
          <w:sz w:val="20"/>
        </w:rPr>
        <w:t xml:space="preserve">Jul 1, 2024  |  Oregon Consumer Privacy Act — Effective date  |  Oregon state privacy law</w:t>
      </w:r>
    </w:p>
    <w:p>
      <w:r>
        <w:rPr>
          <w:sz w:val="20"/>
        </w:rPr>
        <w:t xml:space="preserve">Jul 1, 2024  |  Texas Data Privacy and Security Act (TDPSA) — Effective date  |  Texas state privacy law</w:t>
      </w:r>
    </w:p>
    <w:p>
      <w:r>
        <w:rPr>
          <w:sz w:val="20"/>
        </w:rPr>
        <w:t xml:space="preserve">Oct 1, 2024  |  Montana Consumer Data Privacy Act — Effective date  |  Montana state privacy law</w:t>
      </w:r>
    </w:p>
    <w:p>
      <w:r>
        <w:rPr>
          <w:sz w:val="20"/>
        </w:rPr>
        <w:t xml:space="preserve">Jan 1, 2025  |  Iowa Consumer Data Protection Act — Effective date  |  Iowa state privacy law</w:t>
      </w:r>
    </w:p>
    <w:p>
      <w:r>
        <w:rPr>
          <w:sz w:val="20"/>
        </w:rPr>
        <w:t xml:space="preserve">Jan 1, 2025  |  Delaware Personal Data Privacy Act — Effective date  |  Delaware state privacy law</w:t>
      </w:r>
    </w:p>
    <w:p>
      <w:r>
        <w:rPr>
          <w:sz w:val="20"/>
        </w:rPr>
        <w:t xml:space="preserve">Jan 1, 2025  |  New Hampshire Privacy Act — Effective date  |  New Hampshire state privacy law</w:t>
      </w:r>
    </w:p>
    <w:p>
      <w:r>
        <w:rPr>
          <w:sz w:val="20"/>
        </w:rPr>
        <w:t xml:space="preserve">Jan 1, 2025  |  Nebraska Data Privacy Act — Effective date  |  Nebraska state privacy law</w:t>
      </w:r>
    </w:p>
    <w:p>
      <w:r>
        <w:rPr>
          <w:sz w:val="20"/>
        </w:rPr>
        <w:t xml:space="preserve">Jan 15, 2025  |  New Jersey Data Privacy Act — Effective date  |  New Jersey state privacy law</w:t>
      </w:r>
    </w:p>
    <w:p>
      <w:r>
        <w:rPr>
          <w:sz w:val="20"/>
        </w:rPr>
        <w:t xml:space="preserve">Jul 1, 2025  |  Tennessee Information Protection Act — Effective date  |  Tennessee state privacy law</w:t>
      </w:r>
    </w:p>
    <w:p>
      <w:r>
        <w:rPr>
          <w:sz w:val="20"/>
        </w:rPr>
        <w:t xml:space="preserve">Jul 31, 2025  |  Minnesota Consumer Data Privacy Act — Effective date  |  Minnesota state privacy law</w:t>
      </w:r>
    </w:p>
    <w:p>
      <w:r>
        <w:rPr>
          <w:sz w:val="20"/>
        </w:rPr>
        <w:t xml:space="preserve">Oct 1, 2025  |  Maryland Online Data Privacy Act — Effective date  |  Maryland state privacy law</w:t>
      </w:r>
    </w:p>
    <w:p>
      <w:r>
        <w:rPr>
          <w:sz w:val="20"/>
        </w:rPr>
        <w:t xml:space="preserve">Jan 1, 2026  |  Indiana Consumer Data Protection Act — Effective date  |  Indiana state privacy law</w:t>
      </w:r>
    </w:p>
    <w:p>
      <w:r>
        <w:rPr>
          <w:sz w:val="20"/>
        </w:rPr>
        <w:t xml:space="preserve">Jan 1, 2026  |  Kentucky Consumer Data Protection Act — Effective date  |  Kentucky state privacy law</w:t>
      </w:r>
    </w:p>
    <w:p>
      <w:r>
        <w:rPr>
          <w:sz w:val="20"/>
        </w:rPr>
        <w:t xml:space="preserve">Jan 1, 2026  |  Rhode Island Data Transparency and Privacy Protection Act — Effective date  |  Rhode Island state privacy law</w:t>
      </w:r>
    </w:p>
    <w:p>
      <w:r>
        <w:rPr>
          <w:sz w:val="20"/>
        </w:rPr>
        <w:t xml:space="preserve">Aug 2, 2026  |  EU AI Act — Full transparency obligations take effect  |  EU AI Act (Regulation 2024/1689), Article 50</w:t>
      </w:r>
    </w:p>
    <w:p>
      <w:r>
        <w:rPr>
          <w:sz w:val="20"/>
        </w:rPr>
        <w:t xml:space="preserve">Annually (Jan 1)  |  CCPA/CPRA — Annual privacy policy review and update  |  California Consumer Privacy Act / California Privacy Rights Act</w:t>
      </w:r>
    </w:p>
    <w:p>
      <w:r>
        <w:rPr>
          <w:sz w:val="20"/>
        </w:rPr>
        <w:t xml:space="preserve">Ongoing  |  PCI DSS — Annual self-assessment and ongoing compliance  |  Payment Card Industry Data Security Standard v4.0.1</w:t>
      </w:r>
    </w:p>
    <w:p>
      <w:pPr>
        <w:pStyle w:val="Heading2"/>
      </w:pPr>
      <w:r>
        <w:t>2. Project-Specific Obligations</w:t>
      </w:r>
    </w:p>
    <w:p>
      <w:r>
        <w:t xml:space="preserve">Based on the 8 service(s) detected in nextjs-saas-example, the following obligations apply:</w:t>
      </w:r>
    </w:p>
    <w:p>
      <w:pPr>
        <w:pStyle w:val="Heading3"/>
      </w:pPr>
      <w:r>
        <w:t>AI Services (openai)</w:t>
      </w:r>
    </w:p>
    <w:p>
      <w:pPr>
        <w:pStyle w:val="ListParagraph"/>
        <w:numPr>
          <w:ilvl w:val="0"/>
          <w:numId w:val="1"/>
        </w:numPr>
      </w:pPr>
      <w:r>
        <w:t xml:space="preserve">**Aug 2, 2026** — AI Disclosure must be in place per EU AI Act Article 50</w:t>
      </w:r>
    </w:p>
    <w:p>
      <w:pPr>
        <w:pStyle w:val="ListParagraph"/>
        <w:numPr>
          <w:ilvl w:val="0"/>
          <w:numId w:val="1"/>
        </w:numPr>
      </w:pPr>
      <w:r>
        <w:t xml:space="preserve">**Ongoing** — Maintain human oversight documentation</w:t>
      </w:r>
    </w:p>
    <w:p>
      <w:pPr>
        <w:pStyle w:val="ListParagraph"/>
        <w:numPr>
          <w:ilvl w:val="0"/>
          <w:numId w:val="1"/>
        </w:numPr>
      </w:pPr>
      <w:r>
        <w:t xml:space="preserve">**Ongoing** — Mark AI-generated content in machine-readable format</w:t>
      </w:r>
    </w:p>
    <w:p>
      <w:pPr>
        <w:pStyle w:val="ListParagraph"/>
        <w:numPr>
          <w:ilvl w:val="0"/>
          <w:numId w:val="1"/>
        </w:numPr>
      </w:pPr>
      <w:r>
        <w:t xml:space="preserve">**Ongoing** — Log AI system inputs/outputs for transparency audits</w:t>
      </w:r>
    </w:p>
    <w:p>
      <w:pPr>
        <w:pStyle w:val="Heading3"/>
      </w:pPr>
      <w:r>
        <w:t>Payment Services (stripe, stripe-ios)</w:t>
      </w:r>
    </w:p>
    <w:p>
      <w:pPr>
        <w:pStyle w:val="ListParagraph"/>
        <w:numPr>
          <w:ilvl w:val="0"/>
          <w:numId w:val="1"/>
        </w:numPr>
      </w:pPr>
      <w:r>
        <w:t xml:space="preserve">**Ongoing** — PCI DSS annual self-assessment required</w:t>
      </w:r>
    </w:p>
    <w:p>
      <w:pPr>
        <w:pStyle w:val="ListParagraph"/>
        <w:numPr>
          <w:ilvl w:val="0"/>
          <w:numId w:val="1"/>
        </w:numPr>
      </w:pPr>
      <w:r>
        <w:t xml:space="preserve">**Ongoing** — Quarterly vulnerability scans (ASV) if applicable</w:t>
      </w:r>
    </w:p>
    <w:p>
      <w:pPr>
        <w:pStyle w:val="ListParagraph"/>
        <w:numPr>
          <w:ilvl w:val="0"/>
          <w:numId w:val="1"/>
        </w:numPr>
      </w:pPr>
      <w:r>
        <w:t xml:space="preserve">**Ongoing** — Ensure no raw card data is stored post-authorization</w:t>
      </w:r>
    </w:p>
    <w:p>
      <w:pPr>
        <w:pStyle w:val="Heading3"/>
      </w:pPr>
      <w:r>
        <w:t>Analytics / Advertising Services (posthog)</w:t>
      </w:r>
    </w:p>
    <w:p>
      <w:pPr>
        <w:pStyle w:val="ListParagraph"/>
        <w:numPr>
          <w:ilvl w:val="0"/>
          <w:numId w:val="1"/>
        </w:numPr>
      </w:pPr>
      <w:r>
        <w:t xml:space="preserve">**Ongoing** — Cookie consent mechanism must be maintained (ePrivacy Directive)</w:t>
      </w:r>
    </w:p>
    <w:p>
      <w:pPr>
        <w:pStyle w:val="ListParagraph"/>
        <w:numPr>
          <w:ilvl w:val="0"/>
          <w:numId w:val="1"/>
        </w:numPr>
      </w:pPr>
      <w:r>
        <w:t xml:space="preserve">**Ongoing** — Honor "Do Not Sell or Share" requests (CCPA/CPRA)</w:t>
      </w:r>
    </w:p>
    <w:p>
      <w:pPr>
        <w:pStyle w:val="ListParagraph"/>
        <w:numPr>
          <w:ilvl w:val="0"/>
          <w:numId w:val="1"/>
        </w:numPr>
      </w:pPr>
      <w:r>
        <w:t xml:space="preserve">**Ongoing** — Respect Global Privacy Control (GPC) signals</w:t>
      </w:r>
    </w:p>
    <w:p>
      <w:pPr>
        <w:pStyle w:val="ListParagraph"/>
        <w:numPr>
          <w:ilvl w:val="0"/>
          <w:numId w:val="1"/>
        </w:numPr>
      </w:pPr>
      <w:r>
        <w:t xml:space="preserve">**Annually** — Review analytics data sharing for CCPA "sale" classification</w:t>
      </w:r>
    </w:p>
    <w:p>
      <w:pPr>
        <w:pStyle w:val="Heading3"/>
      </w:pPr>
      <w:r>
        <w:t>Authentication Services (@supabase/supabase-js)</w:t>
      </w:r>
    </w:p>
    <w:p>
      <w:pPr>
        <w:pStyle w:val="ListParagraph"/>
        <w:numPr>
          <w:ilvl w:val="0"/>
          <w:numId w:val="1"/>
        </w:numPr>
      </w:pPr>
      <w:r>
        <w:t xml:space="preserve">**Ongoing** — Maintain data subject access request (DSAR) procedures</w:t>
      </w:r>
    </w:p>
    <w:p>
      <w:pPr>
        <w:pStyle w:val="ListParagraph"/>
        <w:numPr>
          <w:ilvl w:val="0"/>
          <w:numId w:val="1"/>
        </w:numPr>
      </w:pPr>
      <w:r>
        <w:t xml:space="preserve">**Ongoing** — Review session data retention periods</w:t>
      </w:r>
    </w:p>
    <w:p>
      <w:pPr>
        <w:pStyle w:val="ListParagraph"/>
        <w:numPr>
          <w:ilvl w:val="0"/>
          <w:numId w:val="1"/>
        </w:numPr>
      </w:pPr>
      <w:r>
        <w:t xml:space="preserve">**Ongoing** — Ensure authentication data processing agreements are current</w:t>
      </w:r>
    </w:p>
    <w:p>
      <w:pPr>
        <w:pStyle w:val="Heading3"/>
      </w:pPr>
      <w:r>
        <w:t>Email Services (resend)</w:t>
      </w:r>
    </w:p>
    <w:p>
      <w:pPr>
        <w:pStyle w:val="ListParagraph"/>
        <w:numPr>
          <w:ilvl w:val="0"/>
          <w:numId w:val="1"/>
        </w:numPr>
      </w:pPr>
      <w:r>
        <w:t xml:space="preserve">**Ongoing** — Maintain CAN-SPAM / GDPR consent records for marketing emails</w:t>
      </w:r>
    </w:p>
    <w:p>
      <w:pPr>
        <w:pStyle w:val="ListParagraph"/>
        <w:numPr>
          <w:ilvl w:val="0"/>
          <w:numId w:val="1"/>
        </w:numPr>
      </w:pPr>
      <w:r>
        <w:t xml:space="preserve">**Ongoing** — Provide working unsubscribe mechanisms</w:t>
      </w:r>
    </w:p>
    <w:p>
      <w:pPr>
        <w:pStyle w:val="ListParagraph"/>
        <w:numPr>
          <w:ilvl w:val="0"/>
          <w:numId w:val="1"/>
        </w:numPr>
      </w:pPr>
      <w:r>
        <w:t xml:space="preserve">**Ongoing** — Review email service DPAs annually</w:t>
      </w:r>
    </w:p>
    <w:p>
      <w:pPr>
        <w:pStyle w:val="Heading3"/>
      </w:pPr>
      <w:r>
        <w:t>Storage / Database Services (prisma)</w:t>
      </w:r>
    </w:p>
    <w:p>
      <w:pPr>
        <w:pStyle w:val="ListParagraph"/>
        <w:numPr>
          <w:ilvl w:val="0"/>
          <w:numId w:val="1"/>
        </w:numPr>
      </w:pPr>
      <w:r>
        <w:t xml:space="preserve">**Ongoing** — Enforce data retention schedules</w:t>
      </w:r>
    </w:p>
    <w:p>
      <w:pPr>
        <w:pStyle w:val="ListParagraph"/>
        <w:numPr>
          <w:ilvl w:val="0"/>
          <w:numId w:val="1"/>
        </w:numPr>
      </w:pPr>
      <w:r>
        <w:t xml:space="preserve">**Ongoing** — Ensure encryption at rest for personal data</w:t>
      </w:r>
    </w:p>
    <w:p>
      <w:pPr>
        <w:pStyle w:val="ListParagraph"/>
        <w:numPr>
          <w:ilvl w:val="0"/>
          <w:numId w:val="1"/>
        </w:numPr>
      </w:pPr>
      <w:r>
        <w:t xml:space="preserve">**Ongoing** — Verify backup and disaster recovery procedures</w:t>
      </w:r>
    </w:p>
    <w:p>
      <w:pPr>
        <w:pStyle w:val="Heading2"/>
      </w:pPr>
      <w:r>
        <w:t>3. Action Items</w:t>
      </w:r>
    </w:p>
    <w:p>
      <w:pPr>
        <w:pStyle w:val="Heading3"/>
      </w:pPr>
      <w:r>
        <w:t>Immediate (verify now)</w:t>
      </w:r>
    </w:p>
    <w:p>
      <w:pPr>
        <w:pStyle w:val="ListParagraph"/>
        <w:numPr>
          <w:ilvl w:val="0"/>
          <w:numId w:val="1"/>
        </w:numPr>
      </w:pPr>
      <w:r>
        <w:t xml:space="preserve">[ ] Verify CCPA disclosures are included in privacy policy</w:t>
      </w:r>
    </w:p>
    <w:p>
      <w:pPr>
        <w:pStyle w:val="ListParagraph"/>
        <w:numPr>
          <w:ilvl w:val="0"/>
          <w:numId w:val="1"/>
        </w:numPr>
      </w:pPr>
      <w:r>
        <w:t xml:space="preserve">[ ] Confirm "Do Not Sell or Share" link is functional</w:t>
      </w:r>
    </w:p>
    <w:p>
      <w:pPr>
        <w:pStyle w:val="ListParagraph"/>
        <w:numPr>
          <w:ilvl w:val="0"/>
          <w:numId w:val="1"/>
        </w:numPr>
      </w:pPr>
      <w:r>
        <w:t xml:space="preserve">[ ] Verify PCI DSS Self-Assessment Questionnaire is current</w:t>
      </w:r>
    </w:p>
    <w:p>
      <w:pPr>
        <w:pStyle w:val="ListParagraph"/>
        <w:numPr>
          <w:ilvl w:val="0"/>
          <w:numId w:val="1"/>
        </w:numPr>
      </w:pPr>
      <w:r>
        <w:t xml:space="preserve">[ ] Verify cookie consent mechanism is operational</w:t>
      </w:r>
    </w:p>
    <w:p>
      <w:pPr>
        <w:pStyle w:val="Heading3"/>
      </w:pPr>
      <w:r>
        <w:t>Upcoming Deadlines</w:t>
      </w:r>
    </w:p>
    <w:p>
      <w:pPr>
        <w:pStyle w:val="ListParagraph"/>
        <w:numPr>
          <w:ilvl w:val="0"/>
          <w:numId w:val="1"/>
        </w:numPr>
      </w:pPr>
      <w:r>
        <w:t xml:space="preserve">[ ] **By Aug 2, 2026** — Finalize and publish AI Disclosure document</w:t>
      </w:r>
    </w:p>
    <w:p>
      <w:pPr>
        <w:pStyle w:val="ListParagraph"/>
        <w:numPr>
          <w:ilvl w:val="0"/>
          <w:numId w:val="1"/>
        </w:numPr>
      </w:pPr>
      <w:r>
        <w:t xml:space="preserve">[ ] **By Aug 2, 2026** — Complete AI system risk classification</w:t>
      </w:r>
    </w:p>
    <w:p>
      <w:pPr>
        <w:pStyle w:val="ListParagraph"/>
        <w:numPr>
          <w:ilvl w:val="0"/>
          <w:numId w:val="1"/>
        </w:numPr>
      </w:pPr>
      <w:r>
        <w:t xml:space="preserve">[ ] **By Aug 2, 2026** — Implement AI-generated content marking</w:t>
      </w:r>
    </w:p>
    <w:p>
      <w:pPr>
        <w:pStyle w:val="Heading3"/>
      </w:pPr>
      <w:r>
        <w:t>Ongoing</w:t>
      </w:r>
    </w:p>
    <w:p>
      <w:pPr>
        <w:pStyle w:val="ListParagraph"/>
        <w:numPr>
          <w:ilvl w:val="0"/>
          <w:numId w:val="1"/>
        </w:numPr>
      </w:pPr>
      <w:r>
        <w:t xml:space="preserve">[ ] Re-run Codepliant after adding or removing services</w:t>
      </w:r>
    </w:p>
    <w:p>
      <w:pPr>
        <w:pStyle w:val="ListParagraph"/>
        <w:numPr>
          <w:ilvl w:val="0"/>
          <w:numId w:val="1"/>
        </w:numPr>
      </w:pPr>
      <w:r>
        <w:t xml:space="preserve">[ ] Review and update all compliance documents at least annually</w:t>
      </w:r>
    </w:p>
    <w:p>
      <w:pPr>
        <w:pStyle w:val="ListParagraph"/>
        <w:numPr>
          <w:ilvl w:val="0"/>
          <w:numId w:val="1"/>
        </w:numPr>
      </w:pPr>
      <w:r>
        <w:t xml:space="preserve">[ ] Respond to consumer requests within 45 days (CCPA)</w:t>
      </w:r>
    </w:p>
    <w:p>
      <w:pPr>
        <w:pStyle w:val="ListParagraph"/>
        <w:numPr>
          <w:ilvl w:val="0"/>
          <w:numId w:val="1"/>
        </w:numPr>
      </w:pPr>
      <w:r>
        <w:t xml:space="preserve">[ ] Maintain PCI DSS compliance and complete annual assessment</w:t>
      </w:r>
    </w:p>
    <w:p>
      <w:pPr>
        <w:pStyle w:val="Heading2"/>
      </w:pPr>
      <w:r>
        <w:t>4. Recommended Review Schedule</w:t>
      </w:r>
    </w:p>
    <w:p>
      <w:r>
        <w:rPr>
          <w:sz w:val="20"/>
        </w:rPr>
        <w:t xml:space="preserve">Frequency  |  Activity</w:t>
      </w:r>
    </w:p>
    <w:p>
      <w:r>
        <w:rPr>
          <w:sz w:val="20"/>
        </w:rPr>
        <w:t xml:space="preserve">Monthly  |  Review data breach and incident logs</w:t>
      </w:r>
    </w:p>
    <w:p>
      <w:r>
        <w:rPr>
          <w:sz w:val="20"/>
        </w:rPr>
        <w:t xml:space="preserve">Monthly  |  Verify consent mechanisms are operational</w:t>
      </w:r>
    </w:p>
    <w:p>
      <w:r>
        <w:rPr>
          <w:sz w:val="20"/>
        </w:rPr>
        <w:t xml:space="preserve">Quarterly  |  Re-run Codepliant to detect new services or dependencies</w:t>
      </w:r>
    </w:p>
    <w:p>
      <w:r>
        <w:rPr>
          <w:sz w:val="20"/>
        </w:rPr>
        <w:t xml:space="preserve">Quarterly  |  Review and update data processing agreements</w:t>
      </w:r>
    </w:p>
    <w:p>
      <w:r>
        <w:rPr>
          <w:sz w:val="20"/>
        </w:rPr>
        <w:t xml:space="preserve">Semi-annually  |  Conduct internal compliance audit</w:t>
      </w:r>
    </w:p>
    <w:p>
      <w:r>
        <w:rPr>
          <w:sz w:val="20"/>
        </w:rPr>
        <w:t xml:space="preserve">Annually  |  Full privacy policy review and update</w:t>
      </w:r>
    </w:p>
    <w:p>
      <w:r>
        <w:rPr>
          <w:sz w:val="20"/>
        </w:rPr>
        <w:t xml:space="preserve">Annually  |  Staff data protection training refresh</w:t>
      </w:r>
    </w:p>
    <w:p>
      <w:r>
        <w:rPr>
          <w:sz w:val="20"/>
        </w:rPr>
        <w:t xml:space="preserve">Annually  |  Review regulatory landscape for new obligations</w:t>
      </w:r>
    </w:p>
    <w:p>
      <w:r>
        <w:rPr>
          <w:sz w:val="20"/>
        </w:rPr>
        <w:t xml:space="preserve">Annually  |  PCI DSS Self-Assessment Questionnaire</w:t>
      </w:r>
    </w:p>
    <w:p>
      <w:r>
        <w:rPr>
          <w:sz w:val="20"/>
        </w:rPr>
        <w:t xml:space="preserve">Annually  |  AI system risk re-assessment</w:t>
      </w:r>
    </w:p>
    <w:p>
      <w:r>
        <w:rPr>
          <w:sz w:val="20"/>
        </w:rPr>
        <w:t xml:space="preserve">Annually  |  AI Disclosure document review and update</w:t>
      </w:r>
    </w:p>
    <w:p>
      <w:pPr>
        <w:ind w:left="720"/>
      </w:pPr>
      <w:r>
        <w:rPr>
          <w:i/>
          <w:color w:val="666666"/>
        </w:rPr>
        <w:t xml:space="preserve">**Tip:** Set calendar reminders for each review activity. Compliance drift is the most common cause of regulatory exposure.</w:t>
      </w:r>
    </w:p>
    <w:p>
      <w:pPr>
        <w:pBdr>
          <w:bottom w:val="single" w:sz="6" w:space="1" w:color="999999"/>
        </w:pBdr>
      </w:pPr>
    </w:p>
    <w:p>
      <w:r>
        <w:t xml:space="preserve">This compliance timeline was generated by [Codepliant](https://github.com/joechensmartz/codepliant) based on automated code analysis. It is for informational purposes only and does not constitute legal advice.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